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F4E">
        <w:rPr>
          <w:rFonts w:ascii="Times New Roman" w:hAnsi="Times New Roman" w:cs="Times New Roman"/>
          <w:b/>
          <w:sz w:val="20"/>
          <w:szCs w:val="20"/>
        </w:rPr>
        <w:t>Title: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bCs/>
          <w:sz w:val="20"/>
          <w:szCs w:val="20"/>
        </w:rPr>
        <w:t xml:space="preserve">Outcomes of Vestibular </w:t>
      </w:r>
      <w:proofErr w:type="spellStart"/>
      <w:r w:rsidRPr="002D5F4E">
        <w:rPr>
          <w:rFonts w:ascii="Times New Roman" w:hAnsi="Times New Roman" w:cs="Times New Roman"/>
          <w:bCs/>
          <w:sz w:val="20"/>
          <w:szCs w:val="20"/>
        </w:rPr>
        <w:t>Schwannoma</w:t>
      </w:r>
      <w:proofErr w:type="spellEnd"/>
      <w:r w:rsidRPr="002D5F4E">
        <w:rPr>
          <w:rFonts w:ascii="Times New Roman" w:hAnsi="Times New Roman" w:cs="Times New Roman"/>
          <w:bCs/>
          <w:sz w:val="20"/>
          <w:szCs w:val="20"/>
        </w:rPr>
        <w:t xml:space="preserve"> after Stereotactic Radiosurgery: A 20-year retrospective cohort study. 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b/>
          <w:sz w:val="20"/>
          <w:szCs w:val="20"/>
        </w:rPr>
        <w:t>Authors:</w:t>
      </w:r>
      <w:r w:rsidRPr="002D5F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sz w:val="20"/>
          <w:szCs w:val="20"/>
          <w:u w:val="single"/>
        </w:rPr>
        <w:t>TANG Wai Lun</w:t>
      </w:r>
      <w:r w:rsidRPr="002D5F4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D5F4E">
        <w:rPr>
          <w:rFonts w:ascii="Times New Roman" w:hAnsi="Times New Roman" w:cs="Times New Roman"/>
          <w:sz w:val="20"/>
          <w:szCs w:val="20"/>
        </w:rPr>
        <w:t>, CHEUNG Yan Yui Benedict</w:t>
      </w:r>
      <w:r w:rsidRPr="002D5F4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D5F4E">
        <w:rPr>
          <w:rFonts w:ascii="Times New Roman" w:hAnsi="Times New Roman" w:cs="Times New Roman"/>
          <w:sz w:val="20"/>
          <w:szCs w:val="20"/>
        </w:rPr>
        <w:t>, YAM Kwong Yui</w:t>
      </w:r>
      <w:r w:rsidRPr="002D5F4E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5F4E">
        <w:rPr>
          <w:rFonts w:ascii="Times New Roman" w:hAnsi="Times New Roman" w:cs="Times New Roman"/>
          <w:b/>
          <w:sz w:val="20"/>
          <w:szCs w:val="20"/>
        </w:rPr>
        <w:t>Institution(s):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D5F4E">
        <w:rPr>
          <w:rFonts w:ascii="Times New Roman" w:hAnsi="Times New Roman" w:cs="Times New Roman"/>
          <w:sz w:val="20"/>
          <w:szCs w:val="20"/>
        </w:rPr>
        <w:t xml:space="preserve">Department of Neurosurgery,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Tuen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Mun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 xml:space="preserve"> Hospital, Hong Kong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b/>
          <w:sz w:val="20"/>
          <w:szCs w:val="20"/>
        </w:rPr>
        <w:t>Abstract:</w:t>
      </w:r>
      <w:r w:rsidRPr="002D5F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125BF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125BF">
        <w:rPr>
          <w:rFonts w:ascii="Times New Roman" w:hAnsi="Times New Roman" w:cs="Times New Roman"/>
          <w:b/>
          <w:bCs/>
          <w:i/>
          <w:sz w:val="20"/>
          <w:szCs w:val="20"/>
        </w:rPr>
        <w:t>Background</w:t>
      </w:r>
      <w:r w:rsidRPr="003125BF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2D5F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sz w:val="20"/>
          <w:szCs w:val="20"/>
        </w:rPr>
        <w:t xml:space="preserve">Stereotactic radiosurgery (SRS) has been of excellent utility in vestibular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schwannomas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 xml:space="preserve"> demonstrating excellent local control rates.  In this study, the change in hearing after SRS was assessed to determine which patient,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tumour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>, treatment-related factors influence outcomes.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25BF" w:rsidRPr="003125BF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25BF">
        <w:rPr>
          <w:rFonts w:ascii="Times New Roman" w:hAnsi="Times New Roman" w:cs="Times New Roman"/>
          <w:b/>
          <w:bCs/>
          <w:i/>
          <w:sz w:val="20"/>
          <w:szCs w:val="20"/>
        </w:rPr>
        <w:t>Methods</w:t>
      </w:r>
      <w:r w:rsidRPr="003125BF">
        <w:rPr>
          <w:rFonts w:ascii="Times New Roman" w:hAnsi="Times New Roman" w:cs="Times New Roman"/>
          <w:i/>
          <w:sz w:val="20"/>
          <w:szCs w:val="20"/>
        </w:rPr>
        <w:t xml:space="preserve">:  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sz w:val="20"/>
          <w:szCs w:val="20"/>
        </w:rPr>
        <w:t xml:space="preserve">Retrospective review of hearing outcomes in patients with vestibular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schwannomas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 xml:space="preserve"> who had received stereotactic radiosurgery (SRS) between 1999 and 2019 was performed.  SRS had been delivered as a single fraction of a median dose of 12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 xml:space="preserve">.  SRS utilized either a frame-based and a frameless system in our cohort.  Outcomes assessed were post treatment Gardner Robertson (GR) class, facial neuropathy (both cranial nerve V and VII),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tumour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 xml:space="preserve"> control and SRS side </w:t>
      </w:r>
      <w:proofErr w:type="gramStart"/>
      <w:r w:rsidRPr="002D5F4E">
        <w:rPr>
          <w:rFonts w:ascii="Times New Roman" w:hAnsi="Times New Roman" w:cs="Times New Roman"/>
          <w:sz w:val="20"/>
          <w:szCs w:val="20"/>
        </w:rPr>
        <w:t>effects .</w:t>
      </w:r>
      <w:proofErr w:type="gramEnd"/>
      <w:r w:rsidRPr="002D5F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D5F4E" w:rsidRPr="003125BF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3125BF" w:rsidRPr="003125BF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125B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Results: 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sz w:val="20"/>
          <w:szCs w:val="20"/>
        </w:rPr>
        <w:t xml:space="preserve">A total of 52 patients over 20 years were assessed.  Of the patients receiving SRS, 25 received SRS via a frameless system.  Size of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tumours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 xml:space="preserve"> ranged from 0.22 to 10.32 with a mean of 2.39 at SRS.  There were no new neurological deficits after SRS.  Interval decrease in size in over 70% of the </w:t>
      </w:r>
      <w:proofErr w:type="spellStart"/>
      <w:r w:rsidRPr="002D5F4E">
        <w:rPr>
          <w:rFonts w:ascii="Times New Roman" w:hAnsi="Times New Roman" w:cs="Times New Roman"/>
          <w:sz w:val="20"/>
          <w:szCs w:val="20"/>
        </w:rPr>
        <w:t>tumours</w:t>
      </w:r>
      <w:proofErr w:type="spellEnd"/>
      <w:r w:rsidRPr="002D5F4E">
        <w:rPr>
          <w:rFonts w:ascii="Times New Roman" w:hAnsi="Times New Roman" w:cs="Times New Roman"/>
          <w:sz w:val="20"/>
          <w:szCs w:val="20"/>
        </w:rPr>
        <w:t>.  Factors affecting the outcomes are yet to be determined pending further analysis.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25BF" w:rsidRPr="003125BF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3125B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Conclusions: </w:t>
      </w:r>
    </w:p>
    <w:p w:rsidR="002D5F4E" w:rsidRPr="002D5F4E" w:rsidRDefault="002D5F4E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5F4E">
        <w:rPr>
          <w:rFonts w:ascii="Times New Roman" w:hAnsi="Times New Roman" w:cs="Times New Roman"/>
          <w:sz w:val="20"/>
          <w:szCs w:val="20"/>
        </w:rPr>
        <w:t xml:space="preserve">Preliminarily, no significant difference in outcomes was found between frame-based and frameless SRS. </w:t>
      </w:r>
    </w:p>
    <w:p w:rsidR="00C50CDD" w:rsidRPr="002D5F4E" w:rsidRDefault="00C50CDD" w:rsidP="002D5F4E">
      <w:pPr>
        <w:snapToGrid w:val="0"/>
        <w:spacing w:after="0" w:line="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50CDD" w:rsidRPr="002D5F4E" w:rsidSect="000B2620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C5" w:rsidRDefault="00452CC5" w:rsidP="00452CC5">
      <w:r>
        <w:separator/>
      </w:r>
    </w:p>
  </w:endnote>
  <w:endnote w:type="continuationSeparator" w:id="0">
    <w:p w:rsidR="00452CC5" w:rsidRDefault="00452CC5" w:rsidP="0045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C5" w:rsidRDefault="00452CC5" w:rsidP="00452CC5">
      <w:r>
        <w:separator/>
      </w:r>
    </w:p>
  </w:footnote>
  <w:footnote w:type="continuationSeparator" w:id="0">
    <w:p w:rsidR="00452CC5" w:rsidRDefault="00452CC5" w:rsidP="0045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C5" w:rsidRDefault="00E949E1">
    <w:pPr>
      <w:pStyle w:val="Header"/>
    </w:pPr>
    <w:r>
      <w:rPr>
        <w:rFonts w:cstheme="minorHAnsi"/>
      </w:rPr>
      <w:t>FP</w:t>
    </w:r>
    <w:r w:rsidR="00CE0AEB">
      <w:rPr>
        <w:rFonts w:cstheme="minorHAnsi"/>
      </w:rPr>
      <w:t>V</w:t>
    </w:r>
    <w:r w:rsidR="005268AE">
      <w:rPr>
        <w:rFonts w:cstheme="minorHAnsi"/>
      </w:rPr>
      <w:t>I</w:t>
    </w:r>
    <w:r w:rsidR="005354D3">
      <w:rPr>
        <w:rFonts w:cstheme="minorHAnsi"/>
      </w:rPr>
      <w:t>I</w:t>
    </w:r>
    <w:r w:rsidR="005268AE">
      <w:rPr>
        <w:rFonts w:cstheme="minorHAnsi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1DFA"/>
    <w:multiLevelType w:val="hybridMultilevel"/>
    <w:tmpl w:val="4EBCE936"/>
    <w:styleLink w:val="Numbered"/>
    <w:lvl w:ilvl="0" w:tplc="6A106D44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6AAC8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4450B0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CB76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88ED8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C284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98E4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49554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E6032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283319"/>
    <w:multiLevelType w:val="hybridMultilevel"/>
    <w:tmpl w:val="4EBCE936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96"/>
    <w:rsid w:val="00011E50"/>
    <w:rsid w:val="00086D04"/>
    <w:rsid w:val="000B2620"/>
    <w:rsid w:val="000D5AF9"/>
    <w:rsid w:val="0018192A"/>
    <w:rsid w:val="00285C52"/>
    <w:rsid w:val="002D5F4E"/>
    <w:rsid w:val="003125BF"/>
    <w:rsid w:val="00344E9C"/>
    <w:rsid w:val="00383C94"/>
    <w:rsid w:val="00452CC5"/>
    <w:rsid w:val="00464D7B"/>
    <w:rsid w:val="00497EC9"/>
    <w:rsid w:val="005268AE"/>
    <w:rsid w:val="005354D3"/>
    <w:rsid w:val="00603090"/>
    <w:rsid w:val="00630026"/>
    <w:rsid w:val="006E428F"/>
    <w:rsid w:val="00713DBB"/>
    <w:rsid w:val="00721D62"/>
    <w:rsid w:val="00734493"/>
    <w:rsid w:val="00747D85"/>
    <w:rsid w:val="008A4EBB"/>
    <w:rsid w:val="008A6552"/>
    <w:rsid w:val="009002A2"/>
    <w:rsid w:val="009E03C2"/>
    <w:rsid w:val="009F5866"/>
    <w:rsid w:val="00A13EA9"/>
    <w:rsid w:val="00A14342"/>
    <w:rsid w:val="00A216BA"/>
    <w:rsid w:val="00A71AAE"/>
    <w:rsid w:val="00AD6196"/>
    <w:rsid w:val="00C45CCA"/>
    <w:rsid w:val="00C47F8C"/>
    <w:rsid w:val="00C50CDD"/>
    <w:rsid w:val="00C942BF"/>
    <w:rsid w:val="00CE0AEB"/>
    <w:rsid w:val="00D2513F"/>
    <w:rsid w:val="00D95B0E"/>
    <w:rsid w:val="00DC7CBF"/>
    <w:rsid w:val="00E03CF0"/>
    <w:rsid w:val="00E949E1"/>
    <w:rsid w:val="00EF206C"/>
    <w:rsid w:val="00F762A4"/>
    <w:rsid w:val="00FB4E97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75875A"/>
  <w15:chartTrackingRefBased/>
  <w15:docId w15:val="{CA04C184-BF44-4E68-BAF6-0665D001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AE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52CC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52C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F9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713DBB"/>
    <w:rPr>
      <w:kern w:val="0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0CDD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0C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0C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42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02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HK"/>
    </w:rPr>
  </w:style>
  <w:style w:type="paragraph" w:customStyle="1" w:styleId="BodyA">
    <w:name w:val="Body A"/>
    <w:rsid w:val="009E03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9E03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AUTHORITY</dc:creator>
  <cp:keywords/>
  <dc:description/>
  <cp:lastModifiedBy>HOSPITAL AUTHORITY</cp:lastModifiedBy>
  <cp:revision>4</cp:revision>
  <cp:lastPrinted>2019-11-20T11:16:00Z</cp:lastPrinted>
  <dcterms:created xsi:type="dcterms:W3CDTF">2019-11-20T11:18:00Z</dcterms:created>
  <dcterms:modified xsi:type="dcterms:W3CDTF">2019-11-21T09:44:00Z</dcterms:modified>
</cp:coreProperties>
</file>